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0CF" w:rsidRPr="002B389A" w:rsidRDefault="00B23C6B" w:rsidP="002B389A">
      <w:pPr>
        <w:spacing w:line="480" w:lineRule="auto"/>
        <w:jc w:val="center"/>
        <w:rPr>
          <w:rFonts w:ascii="Times New Roman" w:hAnsi="Times New Roman" w:cs="Times New Roman"/>
          <w:color w:val="000000" w:themeColor="text1"/>
          <w:sz w:val="24"/>
          <w:szCs w:val="24"/>
        </w:rPr>
      </w:pPr>
      <w:r w:rsidRPr="002040CF">
        <w:rPr>
          <w:rFonts w:ascii="Times New Roman" w:hAnsi="Times New Roman" w:cs="Times New Roman"/>
          <w:sz w:val="24"/>
          <w:szCs w:val="24"/>
        </w:rPr>
        <w:t>Myocardial Infarction</w:t>
      </w:r>
    </w:p>
    <w:p w:rsidR="00EA6B43" w:rsidRPr="002040CF" w:rsidRDefault="00B23C6B" w:rsidP="002040CF">
      <w:pPr>
        <w:spacing w:after="0" w:line="480" w:lineRule="auto"/>
        <w:ind w:firstLine="851"/>
        <w:rPr>
          <w:rFonts w:ascii="Times New Roman" w:hAnsi="Times New Roman" w:cs="Times New Roman"/>
          <w:sz w:val="24"/>
          <w:szCs w:val="24"/>
        </w:rPr>
      </w:pPr>
      <w:r w:rsidRPr="002040CF">
        <w:rPr>
          <w:rFonts w:ascii="Times New Roman" w:hAnsi="Times New Roman" w:cs="Times New Roman"/>
          <w:sz w:val="24"/>
          <w:szCs w:val="24"/>
        </w:rPr>
        <w:t>Chest pain is among the common clinical manifestation, which is considered urgent and needs to be addressed in the emergency department. Seeking medical management with immediate action is a lifesaving act for chest pain. Patient education has been considered to be among the factors that enhance lifesaving action for the patients who present with chest pain. In most cases, chest pain diagnosis, such as myocardial infarction, is life-threatening</w:t>
      </w:r>
      <w:r w:rsidR="002040CF" w:rsidRPr="002040CF">
        <w:rPr>
          <w:rFonts w:ascii="Times New Roman" w:hAnsi="Times New Roman" w:cs="Times New Roman"/>
          <w:sz w:val="24"/>
          <w:szCs w:val="24"/>
        </w:rPr>
        <w:t xml:space="preserve"> (</w:t>
      </w:r>
      <w:r w:rsidR="002040CF" w:rsidRPr="002040CF">
        <w:rPr>
          <w:rFonts w:ascii="Times New Roman" w:hAnsi="Times New Roman" w:cs="Times New Roman"/>
          <w:color w:val="303030"/>
          <w:sz w:val="24"/>
          <w:szCs w:val="24"/>
          <w:shd w:val="clear" w:color="auto" w:fill="FFFFFF"/>
        </w:rPr>
        <w:t>Ayerbe et al., 2016)</w:t>
      </w:r>
      <w:r w:rsidRPr="002040CF">
        <w:rPr>
          <w:rFonts w:ascii="Times New Roman" w:hAnsi="Times New Roman" w:cs="Times New Roman"/>
          <w:sz w:val="24"/>
          <w:szCs w:val="24"/>
        </w:rPr>
        <w:t>. Therefore, immediate diagnosis for the patient is significant to ensure that the condition's risk factors are eliminated. The assessment and diagnostic procedure are vital for the patient to ensure that a working diagnosis is developed and treatment is commenced.</w:t>
      </w:r>
    </w:p>
    <w:p w:rsidR="00955382" w:rsidRPr="002040CF" w:rsidRDefault="00B23C6B" w:rsidP="002040CF">
      <w:pPr>
        <w:spacing w:after="0" w:line="480" w:lineRule="auto"/>
        <w:jc w:val="center"/>
        <w:rPr>
          <w:rFonts w:ascii="Times New Roman" w:hAnsi="Times New Roman" w:cs="Times New Roman"/>
          <w:b/>
          <w:bCs/>
          <w:sz w:val="24"/>
          <w:szCs w:val="24"/>
        </w:rPr>
      </w:pPr>
      <w:r w:rsidRPr="002040CF">
        <w:rPr>
          <w:rFonts w:ascii="Times New Roman" w:hAnsi="Times New Roman" w:cs="Times New Roman"/>
          <w:b/>
          <w:bCs/>
          <w:sz w:val="24"/>
          <w:szCs w:val="24"/>
        </w:rPr>
        <w:t>Assessment</w:t>
      </w:r>
    </w:p>
    <w:p w:rsidR="00955382" w:rsidRPr="002040CF" w:rsidRDefault="00B23C6B" w:rsidP="002040CF">
      <w:pPr>
        <w:spacing w:after="0" w:line="480" w:lineRule="auto"/>
        <w:ind w:firstLine="851"/>
        <w:rPr>
          <w:rFonts w:ascii="Times New Roman" w:hAnsi="Times New Roman" w:cs="Times New Roman"/>
          <w:sz w:val="24"/>
          <w:szCs w:val="24"/>
        </w:rPr>
      </w:pPr>
      <w:r w:rsidRPr="002040CF">
        <w:rPr>
          <w:rFonts w:ascii="Times New Roman" w:hAnsi="Times New Roman" w:cs="Times New Roman"/>
          <w:sz w:val="24"/>
          <w:szCs w:val="24"/>
        </w:rPr>
        <w:t>Various elements of history will be involved. The history will include the following questions:</w:t>
      </w:r>
    </w:p>
    <w:p w:rsidR="00955382" w:rsidRPr="002040CF" w:rsidRDefault="002C0DCD" w:rsidP="002040CF">
      <w:pPr>
        <w:pStyle w:val="ListParagraph"/>
        <w:numPr>
          <w:ilvl w:val="0"/>
          <w:numId w:val="1"/>
        </w:numPr>
        <w:spacing w:after="0" w:line="480" w:lineRule="auto"/>
        <w:ind w:firstLine="0"/>
        <w:rPr>
          <w:rFonts w:ascii="Times New Roman" w:hAnsi="Times New Roman" w:cs="Times New Roman"/>
          <w:b/>
          <w:bCs/>
          <w:sz w:val="24"/>
          <w:szCs w:val="24"/>
        </w:rPr>
      </w:pPr>
      <w:r>
        <w:rPr>
          <w:rFonts w:ascii="Times New Roman" w:hAnsi="Times New Roman" w:cs="Times New Roman"/>
          <w:sz w:val="24"/>
          <w:szCs w:val="24"/>
        </w:rPr>
        <w:t>C</w:t>
      </w:r>
      <w:r w:rsidR="00B23C6B" w:rsidRPr="002040CF">
        <w:rPr>
          <w:rFonts w:ascii="Times New Roman" w:hAnsi="Times New Roman" w:cs="Times New Roman"/>
          <w:sz w:val="24"/>
          <w:szCs w:val="24"/>
        </w:rPr>
        <w:t>hief complaint</w:t>
      </w:r>
      <w:r w:rsidR="00B23C6B" w:rsidRPr="002040CF">
        <w:rPr>
          <w:rFonts w:ascii="Times New Roman" w:hAnsi="Times New Roman" w:cs="Times New Roman"/>
          <w:b/>
          <w:bCs/>
          <w:sz w:val="24"/>
          <w:szCs w:val="24"/>
        </w:rPr>
        <w:t xml:space="preserve">. </w:t>
      </w:r>
      <w:r w:rsidR="00B23C6B" w:rsidRPr="002040CF">
        <w:rPr>
          <w:rFonts w:ascii="Times New Roman" w:hAnsi="Times New Roman" w:cs="Times New Roman"/>
          <w:sz w:val="24"/>
          <w:szCs w:val="24"/>
        </w:rPr>
        <w:t xml:space="preserve">The health care provider should include questions about the site of the pain, onset (sudden or progressive), the character (if the pain is pleuritic, tight, heavy or </w:t>
      </w:r>
      <w:r w:rsidR="00DD71BE" w:rsidRPr="002040CF">
        <w:rPr>
          <w:rFonts w:ascii="Times New Roman" w:hAnsi="Times New Roman" w:cs="Times New Roman"/>
          <w:sz w:val="24"/>
          <w:szCs w:val="24"/>
        </w:rPr>
        <w:t>crushing</w:t>
      </w:r>
      <w:r w:rsidR="00B23C6B" w:rsidRPr="002040CF">
        <w:rPr>
          <w:rFonts w:ascii="Times New Roman" w:hAnsi="Times New Roman" w:cs="Times New Roman"/>
          <w:sz w:val="24"/>
          <w:szCs w:val="24"/>
        </w:rPr>
        <w:t xml:space="preserve">), </w:t>
      </w:r>
      <w:r w:rsidR="00DD71BE" w:rsidRPr="002040CF">
        <w:rPr>
          <w:rFonts w:ascii="Times New Roman" w:hAnsi="Times New Roman" w:cs="Times New Roman"/>
          <w:sz w:val="24"/>
          <w:szCs w:val="24"/>
        </w:rPr>
        <w:t>radiation (jaw, neck, left arm), alleviating and exacerbating factors and the scale of severity from 1-10</w:t>
      </w:r>
      <w:r w:rsidR="002040CF" w:rsidRPr="002040CF">
        <w:rPr>
          <w:rFonts w:ascii="Times New Roman" w:hAnsi="Times New Roman" w:cs="Times New Roman"/>
          <w:sz w:val="24"/>
          <w:szCs w:val="24"/>
        </w:rPr>
        <w:t xml:space="preserve"> (</w:t>
      </w:r>
      <w:r w:rsidR="002040CF" w:rsidRPr="002040CF">
        <w:rPr>
          <w:rFonts w:ascii="Times New Roman" w:hAnsi="Times New Roman" w:cs="Times New Roman"/>
          <w:color w:val="303030"/>
          <w:sz w:val="24"/>
          <w:szCs w:val="24"/>
          <w:shd w:val="clear" w:color="auto" w:fill="FFFFFF"/>
        </w:rPr>
        <w:t>Ayerbe et al., 2016)</w:t>
      </w:r>
      <w:r w:rsidR="00DD71BE" w:rsidRPr="002040CF">
        <w:rPr>
          <w:rFonts w:ascii="Times New Roman" w:hAnsi="Times New Roman" w:cs="Times New Roman"/>
          <w:sz w:val="24"/>
          <w:szCs w:val="24"/>
        </w:rPr>
        <w:t>. The health care provider should</w:t>
      </w:r>
      <w:r w:rsidR="007D4B35">
        <w:rPr>
          <w:rFonts w:ascii="Times New Roman" w:hAnsi="Times New Roman" w:cs="Times New Roman"/>
          <w:sz w:val="24"/>
          <w:szCs w:val="24"/>
        </w:rPr>
        <w:t xml:space="preserve"> also</w:t>
      </w:r>
      <w:r w:rsidR="00DD71BE" w:rsidRPr="002040CF">
        <w:rPr>
          <w:rFonts w:ascii="Times New Roman" w:hAnsi="Times New Roman" w:cs="Times New Roman"/>
          <w:sz w:val="24"/>
          <w:szCs w:val="24"/>
        </w:rPr>
        <w:t xml:space="preserve"> ask about the associated symptoms such as acute coronary symptoms, including nausea, sweating, and dyspnea.</w:t>
      </w:r>
    </w:p>
    <w:p w:rsidR="00DD71BE" w:rsidRPr="002040CF" w:rsidRDefault="00B23C6B" w:rsidP="002040CF">
      <w:pPr>
        <w:pStyle w:val="ListParagraph"/>
        <w:numPr>
          <w:ilvl w:val="0"/>
          <w:numId w:val="1"/>
        </w:numPr>
        <w:spacing w:after="0" w:line="480" w:lineRule="auto"/>
        <w:ind w:firstLine="0"/>
        <w:rPr>
          <w:rFonts w:ascii="Times New Roman" w:hAnsi="Times New Roman" w:cs="Times New Roman"/>
          <w:b/>
          <w:bCs/>
          <w:sz w:val="24"/>
          <w:szCs w:val="24"/>
        </w:rPr>
      </w:pPr>
      <w:r w:rsidRPr="002040CF">
        <w:rPr>
          <w:rFonts w:ascii="Times New Roman" w:hAnsi="Times New Roman" w:cs="Times New Roman"/>
          <w:sz w:val="24"/>
          <w:szCs w:val="24"/>
        </w:rPr>
        <w:t>Past medical history. The healthcare provider should ask about the presence of a vascular condition such as cardiac disease and neurological conditions such as an ischemic attack. The risk factors for the cardiovascular condition are also established by asking about the presence of diseases like hypertension, diabetes, and hypercholesterolemia.</w:t>
      </w:r>
    </w:p>
    <w:p w:rsidR="00DD71BE" w:rsidRPr="002040CF" w:rsidRDefault="00B23C6B" w:rsidP="002040CF">
      <w:pPr>
        <w:pStyle w:val="ListParagraph"/>
        <w:numPr>
          <w:ilvl w:val="0"/>
          <w:numId w:val="1"/>
        </w:numPr>
        <w:spacing w:after="0" w:line="480" w:lineRule="auto"/>
        <w:ind w:firstLine="0"/>
        <w:rPr>
          <w:rFonts w:ascii="Times New Roman" w:hAnsi="Times New Roman" w:cs="Times New Roman"/>
          <w:b/>
          <w:bCs/>
          <w:sz w:val="24"/>
          <w:szCs w:val="24"/>
        </w:rPr>
      </w:pPr>
      <w:r w:rsidRPr="002040CF">
        <w:rPr>
          <w:rFonts w:ascii="Times New Roman" w:hAnsi="Times New Roman" w:cs="Times New Roman"/>
          <w:sz w:val="24"/>
          <w:szCs w:val="24"/>
        </w:rPr>
        <w:lastRenderedPageBreak/>
        <w:t>Drug History. The question on the use of over the counter medications such as cardiac medications (diuretics and beta-blockers), gastric irritants, procoagulants such as steroids, and recreational use of drugs should be asked.</w:t>
      </w:r>
    </w:p>
    <w:p w:rsidR="00DD71BE" w:rsidRPr="002040CF" w:rsidRDefault="00B23C6B" w:rsidP="002040CF">
      <w:pPr>
        <w:pStyle w:val="ListParagraph"/>
        <w:numPr>
          <w:ilvl w:val="0"/>
          <w:numId w:val="1"/>
        </w:numPr>
        <w:spacing w:after="0" w:line="480" w:lineRule="auto"/>
        <w:ind w:firstLine="0"/>
        <w:rPr>
          <w:rFonts w:ascii="Times New Roman" w:hAnsi="Times New Roman" w:cs="Times New Roman"/>
          <w:b/>
          <w:bCs/>
          <w:sz w:val="24"/>
          <w:szCs w:val="24"/>
        </w:rPr>
      </w:pPr>
      <w:r w:rsidRPr="002040CF">
        <w:rPr>
          <w:rFonts w:ascii="Times New Roman" w:hAnsi="Times New Roman" w:cs="Times New Roman"/>
          <w:sz w:val="24"/>
          <w:szCs w:val="24"/>
        </w:rPr>
        <w:t>Family history. The health care worker should ask about the presence of cardiac disease in the patient’s family.</w:t>
      </w:r>
    </w:p>
    <w:p w:rsidR="00DD71BE" w:rsidRPr="002040CF" w:rsidRDefault="00B23C6B" w:rsidP="002040CF">
      <w:pPr>
        <w:pStyle w:val="ListParagraph"/>
        <w:numPr>
          <w:ilvl w:val="0"/>
          <w:numId w:val="1"/>
        </w:numPr>
        <w:spacing w:after="0" w:line="480" w:lineRule="auto"/>
        <w:ind w:firstLine="0"/>
        <w:rPr>
          <w:rFonts w:ascii="Times New Roman" w:hAnsi="Times New Roman" w:cs="Times New Roman"/>
          <w:b/>
          <w:bCs/>
          <w:sz w:val="24"/>
          <w:szCs w:val="24"/>
        </w:rPr>
      </w:pPr>
      <w:r w:rsidRPr="002040CF">
        <w:rPr>
          <w:rFonts w:ascii="Times New Roman" w:hAnsi="Times New Roman" w:cs="Times New Roman"/>
          <w:sz w:val="24"/>
          <w:szCs w:val="24"/>
        </w:rPr>
        <w:t>Social history. This includes</w:t>
      </w:r>
      <w:r w:rsidR="00FE7EAE">
        <w:rPr>
          <w:rFonts w:ascii="Times New Roman" w:hAnsi="Times New Roman" w:cs="Times New Roman"/>
          <w:sz w:val="24"/>
          <w:szCs w:val="24"/>
        </w:rPr>
        <w:t xml:space="preserve"> the</w:t>
      </w:r>
      <w:r w:rsidRPr="002040CF">
        <w:rPr>
          <w:rFonts w:ascii="Times New Roman" w:hAnsi="Times New Roman" w:cs="Times New Roman"/>
          <w:sz w:val="24"/>
          <w:szCs w:val="24"/>
        </w:rPr>
        <w:t xml:space="preserve"> inquiry about smoking, exercise, and intake of alcohol.</w:t>
      </w:r>
    </w:p>
    <w:p w:rsidR="00DD71BE" w:rsidRPr="002040CF" w:rsidRDefault="00B23C6B" w:rsidP="002040CF">
      <w:pPr>
        <w:spacing w:after="0" w:line="480" w:lineRule="auto"/>
        <w:rPr>
          <w:rFonts w:ascii="Times New Roman" w:hAnsi="Times New Roman" w:cs="Times New Roman"/>
          <w:sz w:val="24"/>
          <w:szCs w:val="24"/>
        </w:rPr>
      </w:pPr>
      <w:r w:rsidRPr="002040CF">
        <w:rPr>
          <w:rFonts w:ascii="Times New Roman" w:hAnsi="Times New Roman" w:cs="Times New Roman"/>
          <w:sz w:val="24"/>
          <w:szCs w:val="24"/>
        </w:rPr>
        <w:t>Physical examination elements include:</w:t>
      </w:r>
    </w:p>
    <w:p w:rsidR="00DD71BE" w:rsidRPr="002040CF" w:rsidRDefault="00B23C6B" w:rsidP="002040CF">
      <w:pPr>
        <w:pStyle w:val="ListParagraph"/>
        <w:numPr>
          <w:ilvl w:val="0"/>
          <w:numId w:val="2"/>
        </w:numPr>
        <w:spacing w:after="0" w:line="480" w:lineRule="auto"/>
        <w:ind w:firstLine="0"/>
        <w:rPr>
          <w:rFonts w:ascii="Times New Roman" w:hAnsi="Times New Roman" w:cs="Times New Roman"/>
          <w:sz w:val="24"/>
          <w:szCs w:val="24"/>
        </w:rPr>
      </w:pPr>
      <w:r w:rsidRPr="002040CF">
        <w:rPr>
          <w:rFonts w:ascii="Times New Roman" w:hAnsi="Times New Roman" w:cs="Times New Roman"/>
          <w:sz w:val="24"/>
          <w:szCs w:val="24"/>
        </w:rPr>
        <w:t xml:space="preserve">Vital signs. </w:t>
      </w:r>
      <w:r w:rsidR="002B389A">
        <w:rPr>
          <w:rFonts w:ascii="Times New Roman" w:hAnsi="Times New Roman" w:cs="Times New Roman"/>
          <w:sz w:val="24"/>
          <w:szCs w:val="24"/>
        </w:rPr>
        <w:t>These include the b</w:t>
      </w:r>
      <w:r w:rsidR="00AF5396" w:rsidRPr="002040CF">
        <w:rPr>
          <w:rFonts w:ascii="Times New Roman" w:hAnsi="Times New Roman" w:cs="Times New Roman"/>
          <w:sz w:val="24"/>
          <w:szCs w:val="24"/>
        </w:rPr>
        <w:t>lood pressure, temperature, heart rate, and the breathing rate of the patient.</w:t>
      </w:r>
    </w:p>
    <w:p w:rsidR="00AF5396" w:rsidRPr="002040CF" w:rsidRDefault="00B23C6B" w:rsidP="002040CF">
      <w:pPr>
        <w:pStyle w:val="ListParagraph"/>
        <w:numPr>
          <w:ilvl w:val="0"/>
          <w:numId w:val="2"/>
        </w:numPr>
        <w:spacing w:after="0" w:line="480" w:lineRule="auto"/>
        <w:ind w:firstLine="0"/>
        <w:rPr>
          <w:rFonts w:ascii="Times New Roman" w:hAnsi="Times New Roman" w:cs="Times New Roman"/>
          <w:sz w:val="24"/>
          <w:szCs w:val="24"/>
        </w:rPr>
      </w:pPr>
      <w:r w:rsidRPr="002040CF">
        <w:rPr>
          <w:rFonts w:ascii="Times New Roman" w:hAnsi="Times New Roman" w:cs="Times New Roman"/>
          <w:sz w:val="24"/>
          <w:szCs w:val="24"/>
        </w:rPr>
        <w:t>General appearance. The patient should be assessed for distress, sweating, or paleness</w:t>
      </w:r>
      <w:r w:rsidR="002040CF" w:rsidRPr="002040CF">
        <w:rPr>
          <w:rFonts w:ascii="Times New Roman" w:hAnsi="Times New Roman" w:cs="Times New Roman"/>
          <w:sz w:val="24"/>
          <w:szCs w:val="24"/>
        </w:rPr>
        <w:t xml:space="preserve"> (</w:t>
      </w:r>
      <w:r w:rsidR="002040CF" w:rsidRPr="002040CF">
        <w:rPr>
          <w:rFonts w:ascii="Times New Roman" w:hAnsi="Times New Roman" w:cs="Times New Roman"/>
          <w:color w:val="303030"/>
          <w:sz w:val="24"/>
          <w:szCs w:val="24"/>
          <w:shd w:val="clear" w:color="auto" w:fill="FFFFFF"/>
        </w:rPr>
        <w:t>Ayerbe et al., 2016)</w:t>
      </w:r>
      <w:r w:rsidRPr="002040CF">
        <w:rPr>
          <w:rFonts w:ascii="Times New Roman" w:hAnsi="Times New Roman" w:cs="Times New Roman"/>
          <w:sz w:val="24"/>
          <w:szCs w:val="24"/>
        </w:rPr>
        <w:t>.</w:t>
      </w:r>
    </w:p>
    <w:p w:rsidR="00AF5396" w:rsidRPr="002040CF" w:rsidRDefault="00B23C6B" w:rsidP="002040CF">
      <w:pPr>
        <w:pStyle w:val="ListParagraph"/>
        <w:numPr>
          <w:ilvl w:val="0"/>
          <w:numId w:val="2"/>
        </w:numPr>
        <w:spacing w:after="0" w:line="480" w:lineRule="auto"/>
        <w:ind w:firstLine="0"/>
        <w:rPr>
          <w:rFonts w:ascii="Times New Roman" w:hAnsi="Times New Roman" w:cs="Times New Roman"/>
          <w:sz w:val="24"/>
          <w:szCs w:val="24"/>
        </w:rPr>
      </w:pPr>
      <w:r w:rsidRPr="002040CF">
        <w:rPr>
          <w:rFonts w:ascii="Times New Roman" w:hAnsi="Times New Roman" w:cs="Times New Roman"/>
          <w:sz w:val="24"/>
          <w:szCs w:val="24"/>
        </w:rPr>
        <w:t>HEENT. This includes the assessment of the head, ears, eyes, neck, and throat. The main checkpoints include the eyes, which are checked for paleness, assessment of the neck for the carotid upstroke, and waveform.</w:t>
      </w:r>
    </w:p>
    <w:p w:rsidR="00AF5396" w:rsidRPr="002040CF" w:rsidRDefault="00B23C6B" w:rsidP="002040CF">
      <w:pPr>
        <w:pStyle w:val="ListParagraph"/>
        <w:numPr>
          <w:ilvl w:val="0"/>
          <w:numId w:val="2"/>
        </w:numPr>
        <w:spacing w:after="0" w:line="480" w:lineRule="auto"/>
        <w:ind w:firstLine="0"/>
        <w:rPr>
          <w:rFonts w:ascii="Times New Roman" w:hAnsi="Times New Roman" w:cs="Times New Roman"/>
          <w:sz w:val="24"/>
          <w:szCs w:val="24"/>
        </w:rPr>
      </w:pPr>
      <w:r w:rsidRPr="002040CF">
        <w:rPr>
          <w:rFonts w:ascii="Times New Roman" w:hAnsi="Times New Roman" w:cs="Times New Roman"/>
          <w:sz w:val="24"/>
          <w:szCs w:val="24"/>
        </w:rPr>
        <w:t xml:space="preserve">Chest. The assessment </w:t>
      </w:r>
      <w:r w:rsidR="00AC6E17">
        <w:rPr>
          <w:rFonts w:ascii="Times New Roman" w:hAnsi="Times New Roman" w:cs="Times New Roman"/>
          <w:sz w:val="24"/>
          <w:szCs w:val="24"/>
        </w:rPr>
        <w:t>on</w:t>
      </w:r>
      <w:r w:rsidRPr="002040CF">
        <w:rPr>
          <w:rFonts w:ascii="Times New Roman" w:hAnsi="Times New Roman" w:cs="Times New Roman"/>
          <w:sz w:val="24"/>
          <w:szCs w:val="24"/>
        </w:rPr>
        <w:t xml:space="preserve"> the use of accessory muscles is done. The lungs are percussed and auscultated for any abnormal sounds. The heart is also auscultated for any abnormal heart sounds such as gallops, rubs, and murmurs.</w:t>
      </w:r>
    </w:p>
    <w:p w:rsidR="00AF5396" w:rsidRPr="002040CF" w:rsidRDefault="00B23C6B" w:rsidP="002040CF">
      <w:pPr>
        <w:pStyle w:val="ListParagraph"/>
        <w:numPr>
          <w:ilvl w:val="0"/>
          <w:numId w:val="2"/>
        </w:numPr>
        <w:spacing w:after="0" w:line="480" w:lineRule="auto"/>
        <w:ind w:firstLine="0"/>
        <w:rPr>
          <w:rFonts w:ascii="Times New Roman" w:hAnsi="Times New Roman" w:cs="Times New Roman"/>
          <w:sz w:val="24"/>
          <w:szCs w:val="24"/>
        </w:rPr>
      </w:pPr>
      <w:r w:rsidRPr="002040CF">
        <w:rPr>
          <w:rFonts w:ascii="Times New Roman" w:hAnsi="Times New Roman" w:cs="Times New Roman"/>
          <w:sz w:val="24"/>
          <w:szCs w:val="24"/>
        </w:rPr>
        <w:t>Abdomen. The abdomen is inspected for any abnormality, such as distension. Palpation is done to rule out the hypertrophy of organs. Auscultation is done to ensure that normal abdominal sounds are established.</w:t>
      </w:r>
    </w:p>
    <w:p w:rsidR="00AF5396" w:rsidRPr="002040CF" w:rsidRDefault="00B23C6B" w:rsidP="002040CF">
      <w:pPr>
        <w:pStyle w:val="ListParagraph"/>
        <w:numPr>
          <w:ilvl w:val="0"/>
          <w:numId w:val="2"/>
        </w:numPr>
        <w:spacing w:after="0" w:line="480" w:lineRule="auto"/>
        <w:ind w:firstLine="0"/>
        <w:rPr>
          <w:rFonts w:ascii="Times New Roman" w:hAnsi="Times New Roman" w:cs="Times New Roman"/>
          <w:sz w:val="24"/>
          <w:szCs w:val="24"/>
        </w:rPr>
      </w:pPr>
      <w:r w:rsidRPr="002040CF">
        <w:rPr>
          <w:rFonts w:ascii="Times New Roman" w:hAnsi="Times New Roman" w:cs="Times New Roman"/>
          <w:sz w:val="24"/>
          <w:szCs w:val="24"/>
        </w:rPr>
        <w:t>The extremities are assessed to establish the presence of edema and cyanosis. Peripheral pulse is also assessed on the extremities.</w:t>
      </w:r>
    </w:p>
    <w:p w:rsidR="00DD71BE" w:rsidRPr="002040CF" w:rsidRDefault="00B23C6B" w:rsidP="002040CF">
      <w:pPr>
        <w:spacing w:after="0" w:line="480" w:lineRule="auto"/>
        <w:ind w:firstLine="851"/>
        <w:rPr>
          <w:rFonts w:ascii="Times New Roman" w:hAnsi="Times New Roman" w:cs="Times New Roman"/>
          <w:color w:val="000000" w:themeColor="text1"/>
          <w:sz w:val="24"/>
          <w:szCs w:val="24"/>
        </w:rPr>
      </w:pPr>
      <w:r w:rsidRPr="002040CF">
        <w:rPr>
          <w:rFonts w:ascii="Times New Roman" w:hAnsi="Times New Roman" w:cs="Times New Roman"/>
          <w:color w:val="000000" w:themeColor="text1"/>
          <w:sz w:val="24"/>
          <w:szCs w:val="24"/>
        </w:rPr>
        <w:t>The pertinent positive objective data include tightness in the chest</w:t>
      </w:r>
      <w:r w:rsidR="00C425AC" w:rsidRPr="002040CF">
        <w:rPr>
          <w:rFonts w:ascii="Times New Roman" w:hAnsi="Times New Roman" w:cs="Times New Roman"/>
          <w:color w:val="000000" w:themeColor="text1"/>
          <w:sz w:val="24"/>
          <w:szCs w:val="24"/>
        </w:rPr>
        <w:t xml:space="preserve"> and </w:t>
      </w:r>
      <w:r w:rsidRPr="002040CF">
        <w:rPr>
          <w:rFonts w:ascii="Times New Roman" w:hAnsi="Times New Roman" w:cs="Times New Roman"/>
          <w:color w:val="000000" w:themeColor="text1"/>
          <w:sz w:val="24"/>
          <w:szCs w:val="24"/>
        </w:rPr>
        <w:t>increased heart rate</w:t>
      </w:r>
      <w:r w:rsidR="00C425AC" w:rsidRPr="002040CF">
        <w:rPr>
          <w:rFonts w:ascii="Times New Roman" w:hAnsi="Times New Roman" w:cs="Times New Roman"/>
          <w:color w:val="000000" w:themeColor="text1"/>
          <w:sz w:val="24"/>
          <w:szCs w:val="24"/>
        </w:rPr>
        <w:t>. The pertinent positive subjective data include severe chest pain. Pertinent negative objective data include cyanosis, abnormal heart, and lung sounds, while pertinent negative subjective data include nausea and vomiting. The differential diagnosis for chest pain includes myocardial infarction, aortic dissection, pulmonary embolism, gastroesophageal reflux disease, pericarditis, and pneumothorax. The working diagnosis for the presented clinical manifestations is the myocardial infarction.</w:t>
      </w:r>
    </w:p>
    <w:p w:rsidR="00C425AC" w:rsidRPr="002040CF" w:rsidRDefault="00B23C6B" w:rsidP="002040CF">
      <w:pPr>
        <w:spacing w:after="0" w:line="480" w:lineRule="auto"/>
        <w:ind w:firstLine="851"/>
        <w:jc w:val="center"/>
        <w:rPr>
          <w:rFonts w:ascii="Times New Roman" w:hAnsi="Times New Roman" w:cs="Times New Roman"/>
          <w:b/>
          <w:bCs/>
          <w:color w:val="000000" w:themeColor="text1"/>
          <w:sz w:val="24"/>
          <w:szCs w:val="24"/>
        </w:rPr>
      </w:pPr>
      <w:r w:rsidRPr="002040CF">
        <w:rPr>
          <w:rFonts w:ascii="Times New Roman" w:hAnsi="Times New Roman" w:cs="Times New Roman"/>
          <w:b/>
          <w:bCs/>
          <w:color w:val="000000" w:themeColor="text1"/>
          <w:sz w:val="24"/>
          <w:szCs w:val="24"/>
        </w:rPr>
        <w:t>Diagnosis, Tests and Treatment Plan</w:t>
      </w:r>
    </w:p>
    <w:p w:rsidR="00C425AC" w:rsidRPr="002040CF" w:rsidRDefault="00B23C6B" w:rsidP="002040CF">
      <w:pPr>
        <w:spacing w:after="0" w:line="480" w:lineRule="auto"/>
        <w:ind w:firstLine="851"/>
        <w:rPr>
          <w:rFonts w:ascii="Times New Roman" w:hAnsi="Times New Roman" w:cs="Times New Roman"/>
          <w:color w:val="000000" w:themeColor="text1"/>
          <w:sz w:val="24"/>
          <w:szCs w:val="24"/>
        </w:rPr>
      </w:pPr>
      <w:r w:rsidRPr="002040CF">
        <w:rPr>
          <w:rFonts w:ascii="Times New Roman" w:hAnsi="Times New Roman" w:cs="Times New Roman"/>
          <w:color w:val="000000" w:themeColor="text1"/>
          <w:sz w:val="24"/>
          <w:szCs w:val="24"/>
        </w:rPr>
        <w:t>The initial diagnostic test that is done for Myocardial infarction is an electrocardiogram test to establish the type of attack and where it is located. Blood tests are also done to assess the level of biochemical markers to establish the extent of the myocardial infarction</w:t>
      </w:r>
      <w:r w:rsidR="002040CF" w:rsidRPr="002040CF">
        <w:rPr>
          <w:rFonts w:ascii="Times New Roman" w:hAnsi="Times New Roman" w:cs="Times New Roman"/>
          <w:color w:val="000000" w:themeColor="text1"/>
          <w:sz w:val="24"/>
          <w:szCs w:val="24"/>
        </w:rPr>
        <w:t xml:space="preserve"> (</w:t>
      </w:r>
      <w:r w:rsidR="002040CF" w:rsidRPr="002040CF">
        <w:rPr>
          <w:rFonts w:ascii="Times New Roman" w:hAnsi="Times New Roman" w:cs="Times New Roman"/>
          <w:color w:val="000000" w:themeColor="text1"/>
          <w:sz w:val="24"/>
          <w:szCs w:val="24"/>
          <w:shd w:val="clear" w:color="auto" w:fill="FFFFFF"/>
        </w:rPr>
        <w:t>Saleh &amp; Ambrose, 2018)</w:t>
      </w:r>
      <w:r w:rsidRPr="002040CF">
        <w:rPr>
          <w:rFonts w:ascii="Times New Roman" w:hAnsi="Times New Roman" w:cs="Times New Roman"/>
          <w:color w:val="000000" w:themeColor="text1"/>
          <w:sz w:val="24"/>
          <w:szCs w:val="24"/>
        </w:rPr>
        <w:t xml:space="preserve">. An echocardiogram is also done to </w:t>
      </w:r>
      <w:r w:rsidR="00E13626" w:rsidRPr="002040CF">
        <w:rPr>
          <w:rFonts w:ascii="Times New Roman" w:hAnsi="Times New Roman" w:cs="Times New Roman"/>
          <w:color w:val="000000" w:themeColor="text1"/>
          <w:sz w:val="24"/>
          <w:szCs w:val="24"/>
        </w:rPr>
        <w:t>study the heart's activity and the part of the heart that is not performing properly.</w:t>
      </w:r>
    </w:p>
    <w:p w:rsidR="00C425AC" w:rsidRPr="002040CF" w:rsidRDefault="00B23C6B" w:rsidP="002040CF">
      <w:pPr>
        <w:spacing w:after="0" w:line="480" w:lineRule="auto"/>
        <w:ind w:firstLine="851"/>
        <w:rPr>
          <w:rFonts w:ascii="Times New Roman" w:hAnsi="Times New Roman" w:cs="Times New Roman"/>
          <w:color w:val="000000" w:themeColor="text1"/>
          <w:sz w:val="24"/>
          <w:szCs w:val="24"/>
        </w:rPr>
      </w:pPr>
      <w:r w:rsidRPr="002040CF">
        <w:rPr>
          <w:rFonts w:ascii="Times New Roman" w:hAnsi="Times New Roman" w:cs="Times New Roman"/>
          <w:color w:val="000000" w:themeColor="text1"/>
          <w:sz w:val="24"/>
          <w:szCs w:val="24"/>
        </w:rPr>
        <w:t>The treatment of myocardial infarction is dependent on the stage of the disease. Since the patient is in the initial stage of the disease, the medications that will be for treatment include aspirin, fibrinolytic therapy such as plasminogen activator and streptokinase, and heparin bolus of 5000 IU. Also, Angiotensin-Converting enzyme inhibitors such as captopril are significant in the treatment. Beta-blockers, including metoprolol 50mg and atenolol 50 mg, are significant for the patient's treatment</w:t>
      </w:r>
      <w:r w:rsidR="002040CF" w:rsidRPr="002040CF">
        <w:rPr>
          <w:rFonts w:ascii="Times New Roman" w:hAnsi="Times New Roman" w:cs="Times New Roman"/>
          <w:color w:val="000000" w:themeColor="text1"/>
          <w:sz w:val="24"/>
          <w:szCs w:val="24"/>
        </w:rPr>
        <w:t xml:space="preserve"> (</w:t>
      </w:r>
      <w:r w:rsidR="002040CF" w:rsidRPr="002040CF">
        <w:rPr>
          <w:rFonts w:ascii="Times New Roman" w:hAnsi="Times New Roman" w:cs="Times New Roman"/>
          <w:color w:val="000000" w:themeColor="text1"/>
          <w:sz w:val="24"/>
          <w:szCs w:val="24"/>
          <w:shd w:val="clear" w:color="auto" w:fill="FFFFFF"/>
        </w:rPr>
        <w:t>Saleh &amp; Ambrose, 2018)</w:t>
      </w:r>
      <w:r w:rsidRPr="002040CF">
        <w:rPr>
          <w:rFonts w:ascii="Times New Roman" w:hAnsi="Times New Roman" w:cs="Times New Roman"/>
          <w:color w:val="000000" w:themeColor="text1"/>
          <w:sz w:val="24"/>
          <w:szCs w:val="24"/>
        </w:rPr>
        <w:t xml:space="preserve">. </w:t>
      </w:r>
      <w:r w:rsidR="009A0219" w:rsidRPr="002040CF">
        <w:rPr>
          <w:rFonts w:ascii="Times New Roman" w:hAnsi="Times New Roman" w:cs="Times New Roman"/>
          <w:color w:val="000000" w:themeColor="text1"/>
          <w:sz w:val="24"/>
          <w:szCs w:val="24"/>
        </w:rPr>
        <w:t>Over the counter medications that can be used in the treatment includes aspirin, Clopidogrel, metoprolol, and ticagrelor.</w:t>
      </w:r>
    </w:p>
    <w:p w:rsidR="009A0219" w:rsidRPr="002040CF" w:rsidRDefault="00B23C6B" w:rsidP="002040CF">
      <w:pPr>
        <w:spacing w:after="0" w:line="480" w:lineRule="auto"/>
        <w:ind w:firstLine="851"/>
        <w:rPr>
          <w:rFonts w:ascii="Times New Roman" w:hAnsi="Times New Roman" w:cs="Times New Roman"/>
          <w:color w:val="000000" w:themeColor="text1"/>
          <w:sz w:val="24"/>
          <w:szCs w:val="24"/>
        </w:rPr>
      </w:pPr>
      <w:r w:rsidRPr="002040CF">
        <w:rPr>
          <w:rFonts w:ascii="Times New Roman" w:hAnsi="Times New Roman" w:cs="Times New Roman"/>
          <w:color w:val="000000" w:themeColor="text1"/>
          <w:sz w:val="24"/>
          <w:szCs w:val="24"/>
        </w:rPr>
        <w:t>When discharging the patient from the health care institution, the patient should be educated on lifestyle changes, and follow up should be done to ensure the patient's well-being. The patient should be advised on the significance of adherence to medications to ensure a full recovery. The list of all the medications to be taken at home is provided by the health care provider to enhance remembrance, and the family members are involved. The patient should be advised on the significance of calling 911 immediately when the chest pain occurs again. The patient should be advised to purchase a blood pressure monitoring machine to monitor blood pressure at home. Intake of fat, salt should be reduced while more intake of fruits and vegetables should be encouraged</w:t>
      </w:r>
      <w:r w:rsidR="002040CF" w:rsidRPr="002040CF">
        <w:rPr>
          <w:rFonts w:ascii="Times New Roman" w:hAnsi="Times New Roman" w:cs="Times New Roman"/>
          <w:color w:val="000000" w:themeColor="text1"/>
          <w:sz w:val="24"/>
          <w:szCs w:val="24"/>
        </w:rPr>
        <w:t xml:space="preserve"> (</w:t>
      </w:r>
      <w:r w:rsidR="002040CF" w:rsidRPr="002040CF">
        <w:rPr>
          <w:rFonts w:ascii="Times New Roman" w:hAnsi="Times New Roman" w:cs="Times New Roman"/>
          <w:color w:val="000000" w:themeColor="text1"/>
          <w:sz w:val="24"/>
          <w:szCs w:val="24"/>
          <w:shd w:val="clear" w:color="auto" w:fill="FFFFFF"/>
        </w:rPr>
        <w:t>Saleh &amp; Ambrose, 2018)</w:t>
      </w:r>
      <w:r w:rsidRPr="002040CF">
        <w:rPr>
          <w:rFonts w:ascii="Times New Roman" w:hAnsi="Times New Roman" w:cs="Times New Roman"/>
          <w:color w:val="000000" w:themeColor="text1"/>
          <w:sz w:val="24"/>
          <w:szCs w:val="24"/>
        </w:rPr>
        <w:t>. The patient should be advised to exercise and avoid a sedentary lifestyle. Avoidance of alcoholism and smoking should also be established in patient education. The health care provider should make a follow-up schedule by developing an appointment for check-up visits.</w:t>
      </w: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Default="002040CF" w:rsidP="002040CF">
      <w:pPr>
        <w:spacing w:after="0" w:line="480" w:lineRule="auto"/>
        <w:ind w:firstLine="851"/>
        <w:rPr>
          <w:rFonts w:ascii="Times New Roman" w:hAnsi="Times New Roman" w:cs="Times New Roman"/>
          <w:color w:val="000000" w:themeColor="text1"/>
          <w:sz w:val="24"/>
          <w:szCs w:val="24"/>
        </w:rPr>
      </w:pPr>
    </w:p>
    <w:p w:rsidR="002040CF" w:rsidRPr="002040CF" w:rsidRDefault="00B23C6B" w:rsidP="002040CF">
      <w:pPr>
        <w:spacing w:after="0" w:line="480" w:lineRule="auto"/>
        <w:ind w:firstLine="851"/>
        <w:jc w:val="center"/>
        <w:rPr>
          <w:rFonts w:ascii="Times New Roman" w:hAnsi="Times New Roman" w:cs="Times New Roman"/>
          <w:color w:val="000000" w:themeColor="text1"/>
          <w:sz w:val="24"/>
          <w:szCs w:val="24"/>
        </w:rPr>
      </w:pPr>
      <w:r w:rsidRPr="002040CF">
        <w:rPr>
          <w:rFonts w:ascii="Times New Roman" w:hAnsi="Times New Roman" w:cs="Times New Roman"/>
          <w:color w:val="000000" w:themeColor="text1"/>
          <w:sz w:val="24"/>
          <w:szCs w:val="24"/>
        </w:rPr>
        <w:t>References</w:t>
      </w:r>
    </w:p>
    <w:p w:rsidR="002040CF" w:rsidRPr="002040CF" w:rsidRDefault="00B23C6B" w:rsidP="002040CF">
      <w:pPr>
        <w:spacing w:after="0" w:line="480" w:lineRule="auto"/>
        <w:ind w:left="851" w:hanging="851"/>
        <w:rPr>
          <w:rFonts w:ascii="Times New Roman" w:hAnsi="Times New Roman" w:cs="Times New Roman"/>
          <w:color w:val="000000" w:themeColor="text1"/>
          <w:sz w:val="24"/>
          <w:szCs w:val="24"/>
        </w:rPr>
      </w:pPr>
      <w:r w:rsidRPr="002040CF">
        <w:rPr>
          <w:rFonts w:ascii="Times New Roman" w:hAnsi="Times New Roman" w:cs="Times New Roman"/>
          <w:color w:val="000000" w:themeColor="text1"/>
          <w:sz w:val="24"/>
          <w:szCs w:val="24"/>
          <w:shd w:val="clear" w:color="auto" w:fill="FFFFFF"/>
        </w:rPr>
        <w:t>Ayerbe, L., González, E., Gallo, V., Coleman, C. L., Wragg, A., &amp; Robson, J. (2016). Clinical assessment of patients with chest pain; a systematic review of predictive tools. </w:t>
      </w:r>
      <w:r w:rsidRPr="002040CF">
        <w:rPr>
          <w:rFonts w:ascii="Times New Roman" w:hAnsi="Times New Roman" w:cs="Times New Roman"/>
          <w:i/>
          <w:iCs/>
          <w:color w:val="000000" w:themeColor="text1"/>
          <w:sz w:val="24"/>
          <w:szCs w:val="24"/>
          <w:shd w:val="clear" w:color="auto" w:fill="FFFFFF"/>
        </w:rPr>
        <w:t>BMC cardiovascular disorders</w:t>
      </w:r>
      <w:r w:rsidRPr="002040CF">
        <w:rPr>
          <w:rFonts w:ascii="Times New Roman" w:hAnsi="Times New Roman" w:cs="Times New Roman"/>
          <w:color w:val="000000" w:themeColor="text1"/>
          <w:sz w:val="24"/>
          <w:szCs w:val="24"/>
          <w:shd w:val="clear" w:color="auto" w:fill="FFFFFF"/>
        </w:rPr>
        <w:t>, </w:t>
      </w:r>
      <w:r w:rsidRPr="002040CF">
        <w:rPr>
          <w:rFonts w:ascii="Times New Roman" w:hAnsi="Times New Roman" w:cs="Times New Roman"/>
          <w:i/>
          <w:iCs/>
          <w:color w:val="000000" w:themeColor="text1"/>
          <w:sz w:val="24"/>
          <w:szCs w:val="24"/>
          <w:shd w:val="clear" w:color="auto" w:fill="FFFFFF"/>
        </w:rPr>
        <w:t>16</w:t>
      </w:r>
      <w:r w:rsidRPr="002040CF">
        <w:rPr>
          <w:rFonts w:ascii="Times New Roman" w:hAnsi="Times New Roman" w:cs="Times New Roman"/>
          <w:color w:val="000000" w:themeColor="text1"/>
          <w:sz w:val="24"/>
          <w:szCs w:val="24"/>
          <w:shd w:val="clear" w:color="auto" w:fill="FFFFFF"/>
        </w:rPr>
        <w:t>, 18. https://doi.org/10.1186/s12872-016-0196-4</w:t>
      </w:r>
    </w:p>
    <w:p w:rsidR="002040CF" w:rsidRPr="002040CF" w:rsidRDefault="00B23C6B" w:rsidP="002040CF">
      <w:pPr>
        <w:spacing w:after="0" w:line="480" w:lineRule="auto"/>
        <w:ind w:left="851" w:hanging="851"/>
        <w:rPr>
          <w:rFonts w:ascii="Times New Roman" w:hAnsi="Times New Roman" w:cs="Times New Roman"/>
          <w:color w:val="000000" w:themeColor="text1"/>
          <w:sz w:val="24"/>
          <w:szCs w:val="24"/>
          <w:shd w:val="clear" w:color="auto" w:fill="FFFFFF"/>
        </w:rPr>
      </w:pPr>
      <w:r w:rsidRPr="002040CF">
        <w:rPr>
          <w:rFonts w:ascii="Times New Roman" w:hAnsi="Times New Roman" w:cs="Times New Roman"/>
          <w:color w:val="000000" w:themeColor="text1"/>
          <w:sz w:val="24"/>
          <w:szCs w:val="24"/>
          <w:shd w:val="clear" w:color="auto" w:fill="FFFFFF"/>
        </w:rPr>
        <w:t>Saleh, M., &amp; Ambrose, J. A. (2018). Understanding myocardial infarction. </w:t>
      </w:r>
      <w:r w:rsidRPr="002040CF">
        <w:rPr>
          <w:rFonts w:ascii="Times New Roman" w:hAnsi="Times New Roman" w:cs="Times New Roman"/>
          <w:i/>
          <w:iCs/>
          <w:color w:val="000000" w:themeColor="text1"/>
          <w:sz w:val="24"/>
          <w:szCs w:val="24"/>
          <w:shd w:val="clear" w:color="auto" w:fill="FFFFFF"/>
        </w:rPr>
        <w:t>F1000Research</w:t>
      </w:r>
      <w:r w:rsidRPr="002040CF">
        <w:rPr>
          <w:rFonts w:ascii="Times New Roman" w:hAnsi="Times New Roman" w:cs="Times New Roman"/>
          <w:color w:val="000000" w:themeColor="text1"/>
          <w:sz w:val="24"/>
          <w:szCs w:val="24"/>
          <w:shd w:val="clear" w:color="auto" w:fill="FFFFFF"/>
        </w:rPr>
        <w:t>, </w:t>
      </w:r>
      <w:r w:rsidRPr="002040CF">
        <w:rPr>
          <w:rFonts w:ascii="Times New Roman" w:hAnsi="Times New Roman" w:cs="Times New Roman"/>
          <w:i/>
          <w:iCs/>
          <w:color w:val="000000" w:themeColor="text1"/>
          <w:sz w:val="24"/>
          <w:szCs w:val="24"/>
          <w:shd w:val="clear" w:color="auto" w:fill="FFFFFF"/>
        </w:rPr>
        <w:t>7</w:t>
      </w:r>
      <w:r w:rsidRPr="002040CF">
        <w:rPr>
          <w:rFonts w:ascii="Times New Roman" w:hAnsi="Times New Roman" w:cs="Times New Roman"/>
          <w:color w:val="000000" w:themeColor="text1"/>
          <w:sz w:val="24"/>
          <w:szCs w:val="24"/>
          <w:shd w:val="clear" w:color="auto" w:fill="FFFFFF"/>
        </w:rPr>
        <w:t xml:space="preserve">, F1000 Faculty Rev-1378. </w:t>
      </w:r>
      <w:hyperlink r:id="rId7" w:history="1">
        <w:r w:rsidRPr="002040CF">
          <w:rPr>
            <w:rStyle w:val="Hyperlink"/>
            <w:rFonts w:ascii="Times New Roman" w:hAnsi="Times New Roman" w:cs="Times New Roman"/>
            <w:color w:val="000000" w:themeColor="text1"/>
            <w:sz w:val="24"/>
            <w:szCs w:val="24"/>
            <w:u w:val="none"/>
            <w:shd w:val="clear" w:color="auto" w:fill="FFFFFF"/>
          </w:rPr>
          <w:t>https://doi.org/10.12688/f1000research.15096.1</w:t>
        </w:r>
      </w:hyperlink>
    </w:p>
    <w:p w:rsidR="00955382" w:rsidRPr="002040CF" w:rsidRDefault="00955382" w:rsidP="002040CF">
      <w:pPr>
        <w:spacing w:after="0" w:line="480" w:lineRule="auto"/>
        <w:ind w:firstLine="851"/>
        <w:rPr>
          <w:rFonts w:ascii="Times New Roman" w:hAnsi="Times New Roman" w:cs="Times New Roman"/>
          <w:color w:val="000000" w:themeColor="text1"/>
          <w:sz w:val="24"/>
          <w:szCs w:val="24"/>
        </w:rPr>
      </w:pPr>
    </w:p>
    <w:sectPr w:rsidR="00955382" w:rsidRPr="002040CF" w:rsidSect="002040C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548C" w:rsidRDefault="0025548C">
      <w:pPr>
        <w:spacing w:after="0" w:line="240" w:lineRule="auto"/>
      </w:pPr>
      <w:r>
        <w:separator/>
      </w:r>
    </w:p>
  </w:endnote>
  <w:endnote w:type="continuationSeparator" w:id="1">
    <w:p w:rsidR="0025548C" w:rsidRDefault="002554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548C" w:rsidRDefault="0025548C">
      <w:pPr>
        <w:spacing w:after="0" w:line="240" w:lineRule="auto"/>
      </w:pPr>
      <w:r>
        <w:separator/>
      </w:r>
    </w:p>
  </w:footnote>
  <w:footnote w:type="continuationSeparator" w:id="1">
    <w:p w:rsidR="0025548C" w:rsidRDefault="002554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CF" w:rsidRDefault="002040CF" w:rsidP="002040CF">
    <w:pPr>
      <w:pStyle w:val="Header"/>
    </w:pPr>
  </w:p>
  <w:p w:rsidR="002040CF" w:rsidRDefault="002040C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0CF" w:rsidRPr="002040CF" w:rsidRDefault="002040CF" w:rsidP="002040CF">
    <w:pPr>
      <w:pStyle w:val="Header"/>
      <w:rPr>
        <w:rFonts w:ascii="Times New Roman" w:hAnsi="Times New Roman" w:cs="Times New Roman"/>
        <w:sz w:val="24"/>
        <w:szCs w:val="24"/>
      </w:rPr>
    </w:pPr>
  </w:p>
  <w:p w:rsidR="002040CF" w:rsidRPr="002040CF" w:rsidRDefault="002040C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B03D5"/>
    <w:multiLevelType w:val="hybridMultilevel"/>
    <w:tmpl w:val="51C8D0F4"/>
    <w:lvl w:ilvl="0" w:tplc="6EC6353E">
      <w:start w:val="1"/>
      <w:numFmt w:val="decimal"/>
      <w:lvlText w:val="%1."/>
      <w:lvlJc w:val="left"/>
      <w:pPr>
        <w:ind w:left="765" w:hanging="360"/>
      </w:pPr>
    </w:lvl>
    <w:lvl w:ilvl="1" w:tplc="F76C7114" w:tentative="1">
      <w:start w:val="1"/>
      <w:numFmt w:val="lowerLetter"/>
      <w:lvlText w:val="%2."/>
      <w:lvlJc w:val="left"/>
      <w:pPr>
        <w:ind w:left="1485" w:hanging="360"/>
      </w:pPr>
    </w:lvl>
    <w:lvl w:ilvl="2" w:tplc="796CCA90" w:tentative="1">
      <w:start w:val="1"/>
      <w:numFmt w:val="lowerRoman"/>
      <w:lvlText w:val="%3."/>
      <w:lvlJc w:val="right"/>
      <w:pPr>
        <w:ind w:left="2205" w:hanging="180"/>
      </w:pPr>
    </w:lvl>
    <w:lvl w:ilvl="3" w:tplc="B29A4454" w:tentative="1">
      <w:start w:val="1"/>
      <w:numFmt w:val="decimal"/>
      <w:lvlText w:val="%4."/>
      <w:lvlJc w:val="left"/>
      <w:pPr>
        <w:ind w:left="2925" w:hanging="360"/>
      </w:pPr>
    </w:lvl>
    <w:lvl w:ilvl="4" w:tplc="AF82AC48" w:tentative="1">
      <w:start w:val="1"/>
      <w:numFmt w:val="lowerLetter"/>
      <w:lvlText w:val="%5."/>
      <w:lvlJc w:val="left"/>
      <w:pPr>
        <w:ind w:left="3645" w:hanging="360"/>
      </w:pPr>
    </w:lvl>
    <w:lvl w:ilvl="5" w:tplc="D0ACFF48" w:tentative="1">
      <w:start w:val="1"/>
      <w:numFmt w:val="lowerRoman"/>
      <w:lvlText w:val="%6."/>
      <w:lvlJc w:val="right"/>
      <w:pPr>
        <w:ind w:left="4365" w:hanging="180"/>
      </w:pPr>
    </w:lvl>
    <w:lvl w:ilvl="6" w:tplc="22162C74" w:tentative="1">
      <w:start w:val="1"/>
      <w:numFmt w:val="decimal"/>
      <w:lvlText w:val="%7."/>
      <w:lvlJc w:val="left"/>
      <w:pPr>
        <w:ind w:left="5085" w:hanging="360"/>
      </w:pPr>
    </w:lvl>
    <w:lvl w:ilvl="7" w:tplc="CD942872" w:tentative="1">
      <w:start w:val="1"/>
      <w:numFmt w:val="lowerLetter"/>
      <w:lvlText w:val="%8."/>
      <w:lvlJc w:val="left"/>
      <w:pPr>
        <w:ind w:left="5805" w:hanging="360"/>
      </w:pPr>
    </w:lvl>
    <w:lvl w:ilvl="8" w:tplc="09D69572" w:tentative="1">
      <w:start w:val="1"/>
      <w:numFmt w:val="lowerRoman"/>
      <w:lvlText w:val="%9."/>
      <w:lvlJc w:val="right"/>
      <w:pPr>
        <w:ind w:left="6525" w:hanging="180"/>
      </w:pPr>
    </w:lvl>
  </w:abstractNum>
  <w:abstractNum w:abstractNumId="1">
    <w:nsid w:val="61444BBC"/>
    <w:multiLevelType w:val="hybridMultilevel"/>
    <w:tmpl w:val="7F3A752A"/>
    <w:lvl w:ilvl="0" w:tplc="B59CD954">
      <w:start w:val="1"/>
      <w:numFmt w:val="decimal"/>
      <w:lvlText w:val="%1."/>
      <w:lvlJc w:val="left"/>
      <w:pPr>
        <w:ind w:left="720" w:hanging="360"/>
      </w:pPr>
    </w:lvl>
    <w:lvl w:ilvl="1" w:tplc="26ACFF76" w:tentative="1">
      <w:start w:val="1"/>
      <w:numFmt w:val="lowerLetter"/>
      <w:lvlText w:val="%2."/>
      <w:lvlJc w:val="left"/>
      <w:pPr>
        <w:ind w:left="1440" w:hanging="360"/>
      </w:pPr>
    </w:lvl>
    <w:lvl w:ilvl="2" w:tplc="17964C7A" w:tentative="1">
      <w:start w:val="1"/>
      <w:numFmt w:val="lowerRoman"/>
      <w:lvlText w:val="%3."/>
      <w:lvlJc w:val="right"/>
      <w:pPr>
        <w:ind w:left="2160" w:hanging="180"/>
      </w:pPr>
    </w:lvl>
    <w:lvl w:ilvl="3" w:tplc="5852DDDC" w:tentative="1">
      <w:start w:val="1"/>
      <w:numFmt w:val="decimal"/>
      <w:lvlText w:val="%4."/>
      <w:lvlJc w:val="left"/>
      <w:pPr>
        <w:ind w:left="2880" w:hanging="360"/>
      </w:pPr>
    </w:lvl>
    <w:lvl w:ilvl="4" w:tplc="E11EFAF4" w:tentative="1">
      <w:start w:val="1"/>
      <w:numFmt w:val="lowerLetter"/>
      <w:lvlText w:val="%5."/>
      <w:lvlJc w:val="left"/>
      <w:pPr>
        <w:ind w:left="3600" w:hanging="360"/>
      </w:pPr>
    </w:lvl>
    <w:lvl w:ilvl="5" w:tplc="036CA3E0" w:tentative="1">
      <w:start w:val="1"/>
      <w:numFmt w:val="lowerRoman"/>
      <w:lvlText w:val="%6."/>
      <w:lvlJc w:val="right"/>
      <w:pPr>
        <w:ind w:left="4320" w:hanging="180"/>
      </w:pPr>
    </w:lvl>
    <w:lvl w:ilvl="6" w:tplc="3898A558" w:tentative="1">
      <w:start w:val="1"/>
      <w:numFmt w:val="decimal"/>
      <w:lvlText w:val="%7."/>
      <w:lvlJc w:val="left"/>
      <w:pPr>
        <w:ind w:left="5040" w:hanging="360"/>
      </w:pPr>
    </w:lvl>
    <w:lvl w:ilvl="7" w:tplc="9826786C" w:tentative="1">
      <w:start w:val="1"/>
      <w:numFmt w:val="lowerLetter"/>
      <w:lvlText w:val="%8."/>
      <w:lvlJc w:val="left"/>
      <w:pPr>
        <w:ind w:left="5760" w:hanging="360"/>
      </w:pPr>
    </w:lvl>
    <w:lvl w:ilvl="8" w:tplc="29E2093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955382"/>
    <w:rsid w:val="002040CF"/>
    <w:rsid w:val="0025548C"/>
    <w:rsid w:val="002B389A"/>
    <w:rsid w:val="002C0DCD"/>
    <w:rsid w:val="002E28EC"/>
    <w:rsid w:val="004F3B99"/>
    <w:rsid w:val="0058535E"/>
    <w:rsid w:val="005B370E"/>
    <w:rsid w:val="006F7010"/>
    <w:rsid w:val="007D4B35"/>
    <w:rsid w:val="00955382"/>
    <w:rsid w:val="009A0219"/>
    <w:rsid w:val="00AC6E17"/>
    <w:rsid w:val="00AE627A"/>
    <w:rsid w:val="00AF5396"/>
    <w:rsid w:val="00B23C6B"/>
    <w:rsid w:val="00C425AC"/>
    <w:rsid w:val="00CC7D73"/>
    <w:rsid w:val="00DD71BE"/>
    <w:rsid w:val="00E13626"/>
    <w:rsid w:val="00EA6B43"/>
    <w:rsid w:val="00FE7E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7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382"/>
    <w:pPr>
      <w:ind w:left="720"/>
      <w:contextualSpacing/>
    </w:pPr>
  </w:style>
  <w:style w:type="character" w:styleId="Hyperlink">
    <w:name w:val="Hyperlink"/>
    <w:basedOn w:val="DefaultParagraphFont"/>
    <w:uiPriority w:val="99"/>
    <w:unhideWhenUsed/>
    <w:rsid w:val="009A0219"/>
    <w:rPr>
      <w:color w:val="0563C1" w:themeColor="hyperlink"/>
      <w:u w:val="single"/>
    </w:rPr>
  </w:style>
  <w:style w:type="character" w:customStyle="1" w:styleId="UnresolvedMention1">
    <w:name w:val="Unresolved Mention1"/>
    <w:basedOn w:val="DefaultParagraphFont"/>
    <w:uiPriority w:val="99"/>
    <w:semiHidden/>
    <w:unhideWhenUsed/>
    <w:rsid w:val="009A0219"/>
    <w:rPr>
      <w:color w:val="605E5C"/>
      <w:shd w:val="clear" w:color="auto" w:fill="E1DFDD"/>
    </w:rPr>
  </w:style>
  <w:style w:type="paragraph" w:styleId="Header">
    <w:name w:val="header"/>
    <w:basedOn w:val="Normal"/>
    <w:link w:val="HeaderChar"/>
    <w:uiPriority w:val="99"/>
    <w:unhideWhenUsed/>
    <w:rsid w:val="0020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40CF"/>
    <w:rPr>
      <w:lang w:val="en-US"/>
    </w:rPr>
  </w:style>
  <w:style w:type="paragraph" w:styleId="Footer">
    <w:name w:val="footer"/>
    <w:basedOn w:val="Normal"/>
    <w:link w:val="FooterChar"/>
    <w:uiPriority w:val="99"/>
    <w:unhideWhenUsed/>
    <w:rsid w:val="0020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40CF"/>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2688/f1000research.1509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2020-08-18T18:30:00Z</dcterms:created>
  <dcterms:modified xsi:type="dcterms:W3CDTF">2020-08-18T18:30:00Z</dcterms:modified>
</cp:coreProperties>
</file>